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3E" w:rsidRPr="008E6B3E" w:rsidRDefault="008E6B3E" w:rsidP="008E6B3E">
      <w:pPr>
        <w:jc w:val="center"/>
        <w:rPr>
          <w:b/>
          <w:bCs/>
          <w:u w:val="single"/>
        </w:rPr>
      </w:pPr>
      <w:bookmarkStart w:id="0" w:name="_GoBack"/>
      <w:bookmarkEnd w:id="0"/>
      <w:r w:rsidRPr="008E6B3E">
        <w:rPr>
          <w:b/>
          <w:bCs/>
          <w:u w:val="single"/>
        </w:rPr>
        <w:t>SUMMARY OF PRODUCT CHARACTERISTICS</w:t>
      </w:r>
    </w:p>
    <w:p w:rsidR="008E6B3E" w:rsidRPr="008E6B3E" w:rsidRDefault="008E6B3E" w:rsidP="008E6B3E">
      <w:pPr>
        <w:ind w:left="567"/>
        <w:jc w:val="both"/>
        <w:rPr>
          <w:b/>
          <w:bCs/>
          <w:u w:val="single"/>
        </w:rPr>
      </w:pPr>
    </w:p>
    <w:p w:rsidR="008E6B3E" w:rsidRPr="008E6B3E" w:rsidRDefault="008E6B3E" w:rsidP="008E6B3E">
      <w:pPr>
        <w:pStyle w:val="12bold"/>
        <w:jc w:val="both"/>
      </w:pPr>
      <w:r w:rsidRPr="008E6B3E">
        <w:t>NAME OF THE VETERINARY MEDICINAL PRODUCT</w:t>
      </w: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</w:pP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  <w:rPr>
          <w:b w:val="0"/>
        </w:rPr>
      </w:pPr>
      <w:proofErr w:type="spellStart"/>
      <w:r w:rsidRPr="008E6B3E">
        <w:rPr>
          <w:b w:val="0"/>
        </w:rPr>
        <w:t>Ketofen</w:t>
      </w:r>
      <w:proofErr w:type="spellEnd"/>
      <w:r w:rsidRPr="008E6B3E">
        <w:rPr>
          <w:b w:val="0"/>
        </w:rPr>
        <w:t xml:space="preserve"> 10% solution for injection</w:t>
      </w: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  <w:rPr>
          <w:b w:val="0"/>
        </w:rPr>
      </w:pPr>
    </w:p>
    <w:p w:rsidR="008E6B3E" w:rsidRPr="008E6B3E" w:rsidRDefault="008E6B3E" w:rsidP="008E6B3E">
      <w:pPr>
        <w:pStyle w:val="12bold"/>
        <w:jc w:val="both"/>
      </w:pPr>
      <w:r w:rsidRPr="008E6B3E">
        <w:t>QUALITATIVE AND QUANTITATIVE COMPOSITION</w:t>
      </w: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</w:pP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  <w:r w:rsidRPr="008E6B3E">
        <w:rPr>
          <w:b/>
        </w:rPr>
        <w:t>Active ingredient:</w:t>
      </w:r>
      <w:r w:rsidRPr="008E6B3E">
        <w:t xml:space="preserve"> </w:t>
      </w:r>
      <w:proofErr w:type="spellStart"/>
      <w:r w:rsidRPr="008E6B3E">
        <w:t>Ketoprofen</w:t>
      </w:r>
      <w:proofErr w:type="spellEnd"/>
      <w:r w:rsidRPr="008E6B3E">
        <w:t xml:space="preserve"> 100mg/ml</w:t>
      </w: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  <w:r w:rsidRPr="008E6B3E">
        <w:rPr>
          <w:b/>
        </w:rPr>
        <w:t>Preservative:</w:t>
      </w:r>
      <w:r w:rsidRPr="008E6B3E">
        <w:t xml:space="preserve"> Benzyl alcohol 10mg/ml</w:t>
      </w: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  <w:rPr>
          <w:b w:val="0"/>
        </w:rPr>
      </w:pPr>
      <w:r w:rsidRPr="008E6B3E">
        <w:rPr>
          <w:b w:val="0"/>
        </w:rPr>
        <w:t>For full list of excipients, see section 6.1.</w:t>
      </w: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  <w:rPr>
          <w:b w:val="0"/>
        </w:rPr>
      </w:pPr>
    </w:p>
    <w:p w:rsidR="008E6B3E" w:rsidRPr="008E6B3E" w:rsidRDefault="008E6B3E" w:rsidP="008E6B3E">
      <w:pPr>
        <w:pStyle w:val="12bold"/>
        <w:jc w:val="both"/>
      </w:pPr>
      <w:r w:rsidRPr="008E6B3E">
        <w:t>PHARMACEUTICAL FORM</w:t>
      </w: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</w:pP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  <w:rPr>
          <w:b w:val="0"/>
        </w:rPr>
      </w:pPr>
      <w:proofErr w:type="gramStart"/>
      <w:r w:rsidRPr="008E6B3E">
        <w:rPr>
          <w:b w:val="0"/>
        </w:rPr>
        <w:t>Solution for injection.</w:t>
      </w:r>
      <w:proofErr w:type="gramEnd"/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  <w:rPr>
          <w:b w:val="0"/>
        </w:rPr>
      </w:pPr>
    </w:p>
    <w:p w:rsidR="008E6B3E" w:rsidRPr="008E6B3E" w:rsidRDefault="008E6B3E" w:rsidP="008E6B3E">
      <w:pPr>
        <w:pStyle w:val="12bold"/>
        <w:jc w:val="both"/>
      </w:pPr>
      <w:r w:rsidRPr="008E6B3E">
        <w:t>CLINICAL PARTICULARS</w:t>
      </w: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  <w:rPr>
          <w:b w:val="0"/>
          <w:bCs w:val="0"/>
        </w:rPr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Target species</w:t>
      </w: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</w:pP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  <w:rPr>
          <w:b w:val="0"/>
        </w:rPr>
      </w:pPr>
      <w:proofErr w:type="gramStart"/>
      <w:r w:rsidRPr="008E6B3E">
        <w:rPr>
          <w:b w:val="0"/>
        </w:rPr>
        <w:t>Horses, cattle, pigs.</w:t>
      </w:r>
      <w:proofErr w:type="gramEnd"/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  <w:rPr>
          <w:b w:val="0"/>
        </w:rPr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Indications for use, specifying the target species</w:t>
      </w:r>
    </w:p>
    <w:p w:rsidR="008E6B3E" w:rsidRPr="008E6B3E" w:rsidRDefault="008E6B3E" w:rsidP="008E6B3E">
      <w:pPr>
        <w:pStyle w:val="12bold"/>
        <w:numPr>
          <w:ilvl w:val="0"/>
          <w:numId w:val="0"/>
        </w:numPr>
        <w:ind w:left="567"/>
        <w:jc w:val="both"/>
      </w:pP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  <w:r w:rsidRPr="008E6B3E">
        <w:t xml:space="preserve">In the horse, </w:t>
      </w:r>
      <w:proofErr w:type="spellStart"/>
      <w:r w:rsidRPr="008E6B3E">
        <w:t>Ketofen</w:t>
      </w:r>
      <w:proofErr w:type="spellEnd"/>
      <w:r w:rsidRPr="008E6B3E">
        <w:t xml:space="preserve"> 10% is indicated for:</w:t>
      </w: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</w:p>
    <w:p w:rsidR="008E6B3E" w:rsidRPr="008E6B3E" w:rsidRDefault="008E6B3E" w:rsidP="008E6B3E">
      <w:pPr>
        <w:numPr>
          <w:ilvl w:val="0"/>
          <w:numId w:val="10"/>
        </w:numPr>
        <w:tabs>
          <w:tab w:val="clear" w:pos="924"/>
          <w:tab w:val="left" w:pos="1134"/>
        </w:tabs>
        <w:ind w:left="1134" w:hanging="567"/>
        <w:jc w:val="both"/>
      </w:pPr>
      <w:r w:rsidRPr="008E6B3E">
        <w:t>the alleviation of inflammation and pain associated with musculoskeletal disorders;</w:t>
      </w:r>
    </w:p>
    <w:p w:rsidR="008E6B3E" w:rsidRPr="008E6B3E" w:rsidRDefault="008E6B3E" w:rsidP="008E6B3E">
      <w:pPr>
        <w:numPr>
          <w:ilvl w:val="0"/>
          <w:numId w:val="10"/>
        </w:numPr>
        <w:tabs>
          <w:tab w:val="clear" w:pos="924"/>
          <w:tab w:val="left" w:pos="1134"/>
        </w:tabs>
        <w:ind w:left="1134" w:hanging="567"/>
        <w:jc w:val="both"/>
      </w:pPr>
      <w:proofErr w:type="gramStart"/>
      <w:r w:rsidRPr="008E6B3E">
        <w:t>the</w:t>
      </w:r>
      <w:proofErr w:type="gramEnd"/>
      <w:r w:rsidRPr="008E6B3E">
        <w:t xml:space="preserve"> alleviation of visceral pain associated with colic.</w:t>
      </w: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851"/>
          <w:tab w:val="left" w:pos="1418"/>
          <w:tab w:val="left" w:pos="6804"/>
        </w:tabs>
        <w:ind w:left="567"/>
        <w:jc w:val="both"/>
      </w:pPr>
      <w:r w:rsidRPr="008E6B3E">
        <w:t xml:space="preserve">In cattle, </w:t>
      </w:r>
      <w:proofErr w:type="spellStart"/>
      <w:r w:rsidRPr="008E6B3E">
        <w:t>Ketofen</w:t>
      </w:r>
      <w:proofErr w:type="spellEnd"/>
      <w:r w:rsidRPr="008E6B3E">
        <w:t xml:space="preserve"> 10% is indicated for:</w:t>
      </w:r>
    </w:p>
    <w:p w:rsidR="008E6B3E" w:rsidRPr="008E6B3E" w:rsidRDefault="008E6B3E" w:rsidP="008E6B3E">
      <w:pPr>
        <w:tabs>
          <w:tab w:val="left" w:pos="851"/>
          <w:tab w:val="left" w:pos="1418"/>
          <w:tab w:val="left" w:pos="6804"/>
        </w:tabs>
        <w:ind w:left="567"/>
        <w:jc w:val="both"/>
      </w:pPr>
    </w:p>
    <w:p w:rsidR="008E6B3E" w:rsidRPr="008E6B3E" w:rsidRDefault="008E6B3E" w:rsidP="008E6B3E">
      <w:pPr>
        <w:numPr>
          <w:ilvl w:val="0"/>
          <w:numId w:val="11"/>
        </w:numPr>
        <w:jc w:val="both"/>
      </w:pPr>
      <w:r w:rsidRPr="008E6B3E">
        <w:t>the supportive treatment of parturient paresis associated with calving;</w:t>
      </w:r>
    </w:p>
    <w:p w:rsidR="008E6B3E" w:rsidRPr="008E6B3E" w:rsidRDefault="008E6B3E" w:rsidP="008E6B3E">
      <w:pPr>
        <w:numPr>
          <w:ilvl w:val="0"/>
          <w:numId w:val="12"/>
        </w:numPr>
        <w:jc w:val="both"/>
      </w:pPr>
      <w:r w:rsidRPr="008E6B3E">
        <w:t>reducing the pyrexia and distress associated with bacterial respiratory disease when used in conjunction with antimicrobial therapy as appropriate;</w:t>
      </w:r>
    </w:p>
    <w:p w:rsidR="008E6B3E" w:rsidRPr="008E6B3E" w:rsidRDefault="008E6B3E" w:rsidP="008E6B3E">
      <w:pPr>
        <w:numPr>
          <w:ilvl w:val="0"/>
          <w:numId w:val="12"/>
        </w:numPr>
        <w:jc w:val="both"/>
      </w:pPr>
      <w:r w:rsidRPr="008E6B3E">
        <w:t>improving the recovery rate in acute clinical mastitis, including acute endotoxin mastitis, caused by gram negative micro-organisms, in conjunction with antimicrobial therapy;</w:t>
      </w:r>
    </w:p>
    <w:p w:rsidR="008E6B3E" w:rsidRPr="008E6B3E" w:rsidRDefault="008E6B3E" w:rsidP="008E6B3E">
      <w:pPr>
        <w:numPr>
          <w:ilvl w:val="0"/>
          <w:numId w:val="12"/>
        </w:numPr>
        <w:jc w:val="both"/>
      </w:pPr>
      <w:r w:rsidRPr="008E6B3E">
        <w:t>reducing oedema of the udder associated with calving;</w:t>
      </w:r>
    </w:p>
    <w:p w:rsidR="008E6B3E" w:rsidRPr="008E6B3E" w:rsidRDefault="008E6B3E" w:rsidP="008E6B3E">
      <w:pPr>
        <w:numPr>
          <w:ilvl w:val="0"/>
          <w:numId w:val="12"/>
        </w:numPr>
        <w:jc w:val="both"/>
      </w:pPr>
      <w:proofErr w:type="gramStart"/>
      <w:r w:rsidRPr="008E6B3E">
        <w:t>reduces</w:t>
      </w:r>
      <w:proofErr w:type="gramEnd"/>
      <w:r w:rsidRPr="008E6B3E">
        <w:rPr>
          <w:bCs/>
        </w:rPr>
        <w:t xml:space="preserve"> pain associated with lameness.</w:t>
      </w: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  <w:r w:rsidRPr="008E6B3E">
        <w:t xml:space="preserve">In pigs, </w:t>
      </w:r>
      <w:proofErr w:type="spellStart"/>
      <w:r w:rsidRPr="008E6B3E">
        <w:t>Ketofen</w:t>
      </w:r>
      <w:proofErr w:type="spellEnd"/>
      <w:r w:rsidRPr="008E6B3E">
        <w:t xml:space="preserve"> 10% is indicated for:</w:t>
      </w: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</w:p>
    <w:p w:rsidR="008E6B3E" w:rsidRPr="008E6B3E" w:rsidRDefault="008E6B3E" w:rsidP="008E6B3E">
      <w:pPr>
        <w:numPr>
          <w:ilvl w:val="0"/>
          <w:numId w:val="13"/>
        </w:numPr>
        <w:jc w:val="both"/>
      </w:pPr>
      <w:r w:rsidRPr="008E6B3E">
        <w:t>reducing the pyrexia and respiratory rate associated with bacterial or viral respiratory disease when used in conjunction with antimicrobial therapy as appropriate;</w:t>
      </w:r>
    </w:p>
    <w:p w:rsidR="008E6B3E" w:rsidRPr="008E6B3E" w:rsidRDefault="008E6B3E" w:rsidP="008E6B3E">
      <w:pPr>
        <w:numPr>
          <w:ilvl w:val="0"/>
          <w:numId w:val="13"/>
        </w:numPr>
        <w:jc w:val="both"/>
      </w:pPr>
      <w:proofErr w:type="gramStart"/>
      <w:r w:rsidRPr="008E6B3E">
        <w:t>the</w:t>
      </w:r>
      <w:proofErr w:type="gramEnd"/>
      <w:r w:rsidRPr="008E6B3E">
        <w:t xml:space="preserve"> supportive treatment of Mastitis </w:t>
      </w:r>
      <w:proofErr w:type="spellStart"/>
      <w:r w:rsidRPr="008E6B3E">
        <w:t>Metritis</w:t>
      </w:r>
      <w:proofErr w:type="spellEnd"/>
      <w:r w:rsidRPr="008E6B3E">
        <w:t xml:space="preserve"> </w:t>
      </w:r>
      <w:proofErr w:type="spellStart"/>
      <w:r w:rsidRPr="008E6B3E">
        <w:t>Agalactia</w:t>
      </w:r>
      <w:proofErr w:type="spellEnd"/>
      <w:r w:rsidRPr="008E6B3E">
        <w:t xml:space="preserve"> Syndrome in sows, in conjunction with antimicrobial therapy as appropriate.</w:t>
      </w:r>
    </w:p>
    <w:p w:rsidR="008E6B3E" w:rsidRPr="008E6B3E" w:rsidRDefault="008E6B3E" w:rsidP="008E6B3E">
      <w:pPr>
        <w:ind w:left="567"/>
        <w:jc w:val="both"/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Contra-indications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  <w:r w:rsidRPr="008E6B3E">
        <w:t xml:space="preserve">Do not administer to horses, cattle or pigs that have previously shown a hypersensitivity to </w:t>
      </w:r>
      <w:proofErr w:type="spellStart"/>
      <w:r w:rsidRPr="008E6B3E">
        <w:t>ketoprofen</w:t>
      </w:r>
      <w:proofErr w:type="spellEnd"/>
      <w:r w:rsidRPr="008E6B3E">
        <w:t>.</w:t>
      </w: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  <w:r w:rsidRPr="008E6B3E">
        <w:t>Do not administer other non-steroidal anti-inflammatory drugs (NSAIDs) concurrently or within 24 hours of each other.</w:t>
      </w: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  <w:r w:rsidRPr="008E6B3E">
        <w:t xml:space="preserve">Use is contraindicated in animals suffering from cardiac, hepatic or renal disease, where there is the possibility of gastro-intestinal ulceration or bleeding, where there is evidence of a blood </w:t>
      </w:r>
      <w:proofErr w:type="spellStart"/>
      <w:r w:rsidRPr="008E6B3E">
        <w:t>dyscrasia</w:t>
      </w:r>
      <w:proofErr w:type="spellEnd"/>
      <w:r w:rsidRPr="008E6B3E">
        <w:t xml:space="preserve"> or hypersensitivity to the product.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Special warnings for each target species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tabs>
          <w:tab w:val="left" w:pos="6804"/>
        </w:tabs>
        <w:ind w:left="567"/>
        <w:jc w:val="both"/>
      </w:pPr>
      <w:r w:rsidRPr="008E6B3E">
        <w:t>Use in any animal less than 6 weeks of age or in aged animals may involve additional risk.  If such use cannot be avoided animals may require a reduced dosage and careful management.</w:t>
      </w:r>
    </w:p>
    <w:p w:rsidR="008E6B3E" w:rsidRPr="008E6B3E" w:rsidRDefault="008E6B3E" w:rsidP="008E6B3E">
      <w:pPr>
        <w:tabs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6804"/>
        </w:tabs>
        <w:ind w:left="567"/>
        <w:jc w:val="both"/>
      </w:pPr>
      <w:r w:rsidRPr="008E6B3E">
        <w:t xml:space="preserve">Avoid use in any dehydrated, </w:t>
      </w:r>
      <w:proofErr w:type="spellStart"/>
      <w:r w:rsidRPr="008E6B3E">
        <w:t>hypovolaemic</w:t>
      </w:r>
      <w:proofErr w:type="spellEnd"/>
      <w:r w:rsidRPr="008E6B3E">
        <w:t xml:space="preserve"> or hypotensive animals as there is a potential risk of increased renal toxicity.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Special precautions for use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keepNext/>
        <w:keepLines/>
        <w:numPr>
          <w:ilvl w:val="0"/>
          <w:numId w:val="14"/>
        </w:numPr>
        <w:jc w:val="both"/>
        <w:rPr>
          <w:bCs/>
        </w:rPr>
      </w:pPr>
      <w:r w:rsidRPr="008E6B3E">
        <w:rPr>
          <w:bCs/>
        </w:rPr>
        <w:t>Special precautions for use in animals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tabs>
          <w:tab w:val="left" w:pos="6804"/>
        </w:tabs>
        <w:ind w:left="1701"/>
        <w:jc w:val="both"/>
      </w:pPr>
      <w:r w:rsidRPr="008E6B3E">
        <w:t>Avoid intra-arterial injection.</w:t>
      </w:r>
    </w:p>
    <w:p w:rsidR="008E6B3E" w:rsidRPr="008E6B3E" w:rsidRDefault="008E6B3E" w:rsidP="008E6B3E">
      <w:pPr>
        <w:tabs>
          <w:tab w:val="left" w:pos="6804"/>
        </w:tabs>
        <w:ind w:left="1701"/>
        <w:jc w:val="both"/>
      </w:pPr>
      <w:r w:rsidRPr="008E6B3E">
        <w:t>Do not exceed the stated dose or duration of treatment.</w:t>
      </w:r>
    </w:p>
    <w:p w:rsidR="008E6B3E" w:rsidRPr="008E6B3E" w:rsidRDefault="008E6B3E" w:rsidP="008E6B3E">
      <w:pPr>
        <w:keepNext/>
        <w:keepLines/>
        <w:ind w:left="567"/>
        <w:jc w:val="both"/>
        <w:rPr>
          <w:bCs/>
        </w:rPr>
      </w:pPr>
    </w:p>
    <w:p w:rsidR="008E6B3E" w:rsidRPr="008E6B3E" w:rsidRDefault="008E6B3E" w:rsidP="008E6B3E">
      <w:pPr>
        <w:keepNext/>
        <w:keepLines/>
        <w:numPr>
          <w:ilvl w:val="0"/>
          <w:numId w:val="14"/>
        </w:numPr>
        <w:jc w:val="both"/>
        <w:rPr>
          <w:bCs/>
        </w:rPr>
      </w:pPr>
      <w:r w:rsidRPr="008E6B3E">
        <w:rPr>
          <w:bCs/>
        </w:rPr>
        <w:t>Special precautions to be taken by the person administering the medicinal product to the animals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tabs>
          <w:tab w:val="left" w:pos="6804"/>
        </w:tabs>
        <w:ind w:left="1701"/>
        <w:jc w:val="both"/>
      </w:pPr>
      <w:r w:rsidRPr="008E6B3E">
        <w:t>In case of accidental self-injection seek medical advice.</w:t>
      </w:r>
    </w:p>
    <w:p w:rsidR="008E6B3E" w:rsidRPr="008E6B3E" w:rsidRDefault="008E6B3E" w:rsidP="008E6B3E">
      <w:pPr>
        <w:tabs>
          <w:tab w:val="left" w:pos="6804"/>
        </w:tabs>
        <w:ind w:left="1701"/>
        <w:jc w:val="both"/>
      </w:pPr>
      <w:r w:rsidRPr="008E6B3E">
        <w:t>Wash hands after use.</w:t>
      </w:r>
    </w:p>
    <w:p w:rsidR="008E6B3E" w:rsidRPr="008E6B3E" w:rsidRDefault="008E6B3E" w:rsidP="008E6B3E">
      <w:pPr>
        <w:tabs>
          <w:tab w:val="left" w:pos="6804"/>
        </w:tabs>
        <w:ind w:left="1701"/>
        <w:jc w:val="both"/>
      </w:pPr>
      <w:r w:rsidRPr="008E6B3E">
        <w:t>Avoid splashes on the skin and eyes. Irrigate thoroughly with water should this occur. If irritation persists seek medical advice.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Adverse reactions (frequency and seriousness)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ind w:left="567"/>
        <w:jc w:val="both"/>
      </w:pPr>
      <w:r w:rsidRPr="008E6B3E">
        <w:t>In common with all NSAIDs, due to their action of inhibition of prostaglandin synthesis, there can be the possibility in certain individuals of gastric or renal intolerance.</w:t>
      </w:r>
      <w:r w:rsidRPr="008E6B3E">
        <w:tab/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Use during pregnancy, lactation or lay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tabs>
          <w:tab w:val="left" w:pos="6804"/>
        </w:tabs>
        <w:ind w:left="567"/>
        <w:jc w:val="both"/>
      </w:pPr>
      <w:r w:rsidRPr="008E6B3E">
        <w:t xml:space="preserve">As the effects of </w:t>
      </w:r>
      <w:proofErr w:type="spellStart"/>
      <w:r w:rsidRPr="008E6B3E">
        <w:t>ketoprofen</w:t>
      </w:r>
      <w:proofErr w:type="spellEnd"/>
      <w:r w:rsidRPr="008E6B3E">
        <w:t xml:space="preserve"> on fertility, pregnancy or foetal health of horses </w:t>
      </w:r>
      <w:proofErr w:type="gramStart"/>
      <w:r w:rsidRPr="008E6B3E">
        <w:t>have</w:t>
      </w:r>
      <w:proofErr w:type="gramEnd"/>
      <w:r w:rsidRPr="008E6B3E">
        <w:t xml:space="preserve"> not been determined, KETOFEN 10% should not be administered to pregnant mares.  KETOFEN 10% may be given to pregnant and lactating cattle.  It is indicated for use in lactating sows.</w:t>
      </w: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br w:type="page"/>
      </w:r>
      <w:r w:rsidRPr="008E6B3E">
        <w:lastRenderedPageBreak/>
        <w:t>Interaction with other medicinal products and other forms of interaction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tabs>
          <w:tab w:val="left" w:pos="6804"/>
        </w:tabs>
        <w:ind w:left="567"/>
        <w:jc w:val="both"/>
      </w:pPr>
      <w:r w:rsidRPr="008E6B3E">
        <w:t>Some NSAIDs may be highly bound to plasma proteins and compete with other highly bound drugs which can lead to toxic effects.</w:t>
      </w:r>
    </w:p>
    <w:p w:rsidR="008E6B3E" w:rsidRPr="008E6B3E" w:rsidRDefault="008E6B3E" w:rsidP="008E6B3E">
      <w:pPr>
        <w:tabs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6804"/>
        </w:tabs>
        <w:ind w:left="567"/>
        <w:jc w:val="both"/>
      </w:pPr>
      <w:r w:rsidRPr="008E6B3E">
        <w:t>Concurrent administration with nephrotoxic drugs should be avoided.</w:t>
      </w:r>
      <w:r w:rsidRPr="008E6B3E">
        <w:tab/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Amounts to be administered and administration route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tabs>
          <w:tab w:val="left" w:pos="3402"/>
          <w:tab w:val="left" w:pos="6804"/>
        </w:tabs>
        <w:ind w:left="567"/>
        <w:jc w:val="both"/>
      </w:pPr>
      <w:r w:rsidRPr="008E6B3E">
        <w:t>Horse:</w:t>
      </w:r>
    </w:p>
    <w:p w:rsidR="008E6B3E" w:rsidRPr="008E6B3E" w:rsidRDefault="008E6B3E" w:rsidP="008E6B3E">
      <w:pPr>
        <w:tabs>
          <w:tab w:val="left" w:pos="3402"/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3402"/>
          <w:tab w:val="left" w:pos="6804"/>
        </w:tabs>
        <w:ind w:left="567"/>
        <w:jc w:val="both"/>
      </w:pPr>
      <w:r w:rsidRPr="008E6B3E">
        <w:t xml:space="preserve">For use in </w:t>
      </w:r>
      <w:proofErr w:type="spellStart"/>
      <w:r w:rsidRPr="008E6B3E">
        <w:t>musculo</w:t>
      </w:r>
      <w:proofErr w:type="spellEnd"/>
      <w:r w:rsidRPr="008E6B3E">
        <w:t xml:space="preserve">-skeletal conditions, the recommended dosage is 2.2mg </w:t>
      </w:r>
      <w:proofErr w:type="spellStart"/>
      <w:r w:rsidRPr="008E6B3E">
        <w:t>ketoprofen</w:t>
      </w:r>
      <w:proofErr w:type="spellEnd"/>
      <w:r w:rsidRPr="008E6B3E">
        <w:t>/kg i.e. 1ml of KETOFEN 10%/45kg bodyweight, administered by intravenous injection once daily for up to 3 to 5 days.</w:t>
      </w:r>
    </w:p>
    <w:p w:rsidR="008E6B3E" w:rsidRPr="008E6B3E" w:rsidRDefault="008E6B3E" w:rsidP="008E6B3E">
      <w:pPr>
        <w:tabs>
          <w:tab w:val="left" w:pos="3402"/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3402"/>
          <w:tab w:val="left" w:pos="6804"/>
        </w:tabs>
        <w:ind w:left="567"/>
        <w:jc w:val="both"/>
      </w:pPr>
      <w:r w:rsidRPr="008E6B3E">
        <w:t>For use in equine colic, the recommended dosage is 2.2mg/kg (1ml/45kg) bodyweight, given by intravenous injection for immediate effect. A second injection may be given if colic recurs.</w:t>
      </w: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3402"/>
          <w:tab w:val="left" w:pos="6804"/>
        </w:tabs>
        <w:ind w:left="567"/>
        <w:jc w:val="both"/>
      </w:pPr>
      <w:r w:rsidRPr="008E6B3E">
        <w:t>Cattle:</w:t>
      </w:r>
    </w:p>
    <w:p w:rsidR="008E6B3E" w:rsidRPr="008E6B3E" w:rsidRDefault="008E6B3E" w:rsidP="008E6B3E">
      <w:pPr>
        <w:tabs>
          <w:tab w:val="left" w:pos="3402"/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3402"/>
          <w:tab w:val="left" w:pos="6804"/>
        </w:tabs>
        <w:ind w:left="567"/>
        <w:jc w:val="both"/>
      </w:pPr>
      <w:r w:rsidRPr="008E6B3E">
        <w:t xml:space="preserve">The recommended dose is 3mg </w:t>
      </w:r>
      <w:proofErr w:type="spellStart"/>
      <w:r w:rsidRPr="008E6B3E">
        <w:t>ketoprofen</w:t>
      </w:r>
      <w:proofErr w:type="spellEnd"/>
      <w:r w:rsidRPr="008E6B3E">
        <w:t>/kg bodyweight, i.e. 1ml of KETOFEN 10%/33kg bodyweight, administered by intravenous or deep intramuscular injection once daily for up to 3 days.</w:t>
      </w: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3402"/>
          <w:tab w:val="left" w:pos="6804"/>
        </w:tabs>
        <w:ind w:left="567"/>
        <w:jc w:val="both"/>
      </w:pPr>
      <w:r w:rsidRPr="008E6B3E">
        <w:t>Pigs:</w:t>
      </w:r>
    </w:p>
    <w:p w:rsidR="008E6B3E" w:rsidRPr="008E6B3E" w:rsidRDefault="008E6B3E" w:rsidP="008E6B3E">
      <w:pPr>
        <w:tabs>
          <w:tab w:val="left" w:pos="3402"/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3402"/>
          <w:tab w:val="left" w:pos="6804"/>
        </w:tabs>
        <w:ind w:left="567"/>
        <w:jc w:val="both"/>
      </w:pPr>
      <w:r w:rsidRPr="008E6B3E">
        <w:t xml:space="preserve">The recommended dose is 3mg </w:t>
      </w:r>
      <w:proofErr w:type="spellStart"/>
      <w:r w:rsidRPr="008E6B3E">
        <w:t>ketoprofen</w:t>
      </w:r>
      <w:proofErr w:type="spellEnd"/>
      <w:r w:rsidRPr="008E6B3E">
        <w:t>/kg bodyweight, i.e. 1ml of KETOFEN 10%/33kg bodyweight, administered once by deep intramuscular injection.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Overdose (symptoms, emergency procedures, antidotes), if necessary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741204" w:rsidRDefault="008E6B3E" w:rsidP="008E6B3E">
      <w:pPr>
        <w:pStyle w:val="Heading1"/>
        <w:ind w:left="567"/>
        <w:jc w:val="both"/>
        <w:rPr>
          <w:rFonts w:ascii="Arial" w:hAnsi="Arial" w:cs="Arial"/>
          <w:sz w:val="24"/>
        </w:rPr>
      </w:pPr>
      <w:r w:rsidRPr="00741204">
        <w:rPr>
          <w:rFonts w:ascii="Arial" w:hAnsi="Arial" w:cs="Arial"/>
          <w:sz w:val="24"/>
        </w:rPr>
        <w:t>No clinical signs were observed when KETOFEN 10% was administered to horses at 5 times the recommended dose for 15 days, to cattle at 5 times the recommended dose for 5 days, or to pigs at 3 times the recommended dose for 3 days.</w:t>
      </w:r>
    </w:p>
    <w:p w:rsidR="008E6B3E" w:rsidRPr="008E6B3E" w:rsidRDefault="008E6B3E" w:rsidP="008E6B3E">
      <w:pPr>
        <w:ind w:left="567"/>
        <w:jc w:val="both"/>
      </w:pPr>
    </w:p>
    <w:p w:rsidR="008E6B3E" w:rsidRPr="008E6B3E" w:rsidRDefault="008E6B3E" w:rsidP="008E6B3E">
      <w:pPr>
        <w:ind w:left="567"/>
        <w:jc w:val="both"/>
      </w:pPr>
      <w:r w:rsidRPr="008E6B3E">
        <w:t xml:space="preserve">Horses have been found to tolerate intravenous dosages of </w:t>
      </w:r>
      <w:proofErr w:type="spellStart"/>
      <w:r w:rsidRPr="008E6B3E">
        <w:t>ketoprofen</w:t>
      </w:r>
      <w:proofErr w:type="spellEnd"/>
      <w:r w:rsidRPr="008E6B3E">
        <w:t xml:space="preserve"> of 2.2, 6.6 and 11.0 mg/kg once daily for 15 consecutive days (i.e. up to 5 times the recommended dose for three times the recommended duration) with no evidence of toxic effects.</w:t>
      </w:r>
    </w:p>
    <w:p w:rsidR="008E6B3E" w:rsidRPr="008E6B3E" w:rsidRDefault="008E6B3E" w:rsidP="008E6B3E">
      <w:pPr>
        <w:ind w:left="567"/>
        <w:jc w:val="both"/>
      </w:pPr>
    </w:p>
    <w:p w:rsidR="008E6B3E" w:rsidRPr="008E6B3E" w:rsidRDefault="008E6B3E" w:rsidP="008E6B3E">
      <w:pPr>
        <w:pStyle w:val="BodyTextIndent3"/>
        <w:ind w:left="567"/>
        <w:jc w:val="both"/>
        <w:rPr>
          <w:rFonts w:ascii="Arial" w:hAnsi="Arial" w:cs="Arial"/>
          <w:sz w:val="24"/>
        </w:rPr>
      </w:pPr>
      <w:proofErr w:type="spellStart"/>
      <w:r w:rsidRPr="008E6B3E">
        <w:rPr>
          <w:rFonts w:ascii="Arial" w:hAnsi="Arial" w:cs="Arial"/>
          <w:sz w:val="24"/>
        </w:rPr>
        <w:t>Ketoprofen</w:t>
      </w:r>
      <w:proofErr w:type="spellEnd"/>
      <w:r w:rsidRPr="008E6B3E">
        <w:rPr>
          <w:rFonts w:ascii="Arial" w:hAnsi="Arial" w:cs="Arial"/>
          <w:sz w:val="24"/>
        </w:rPr>
        <w:t xml:space="preserve"> is similarly well-tolerated in cattle, where doses of up to 15mg/kg/day (5 times recommended dose) for 5 consecutive days have been without significant adverse effects.  The product has been safely given to calves as young as 3 days of age, and to pregnant and lactating cattle.</w:t>
      </w:r>
    </w:p>
    <w:p w:rsidR="008E6B3E" w:rsidRPr="008E6B3E" w:rsidRDefault="008E6B3E" w:rsidP="008E6B3E">
      <w:pPr>
        <w:pStyle w:val="BodyTextIndent3"/>
        <w:ind w:left="567"/>
        <w:jc w:val="both"/>
        <w:rPr>
          <w:rFonts w:ascii="Arial" w:hAnsi="Arial" w:cs="Arial"/>
          <w:sz w:val="24"/>
        </w:rPr>
      </w:pPr>
      <w:proofErr w:type="spellStart"/>
      <w:r w:rsidRPr="008E6B3E">
        <w:rPr>
          <w:rFonts w:ascii="Arial" w:hAnsi="Arial" w:cs="Arial"/>
          <w:sz w:val="24"/>
        </w:rPr>
        <w:t>Ketoprofen</w:t>
      </w:r>
      <w:proofErr w:type="spellEnd"/>
      <w:r w:rsidRPr="008E6B3E">
        <w:rPr>
          <w:rFonts w:ascii="Arial" w:hAnsi="Arial" w:cs="Arial"/>
          <w:sz w:val="24"/>
        </w:rPr>
        <w:t xml:space="preserve"> is well tolerated in pigs.  Doses of 9mg/kg/day (3 times the recommended dose) for 3 consecutive days have been given with no significant adverse effects.</w:t>
      </w: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br w:type="page"/>
      </w:r>
      <w:r w:rsidRPr="008E6B3E">
        <w:lastRenderedPageBreak/>
        <w:t>Withdrawal periods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tabs>
          <w:tab w:val="left" w:pos="6804"/>
        </w:tabs>
        <w:ind w:left="567"/>
        <w:jc w:val="both"/>
      </w:pPr>
      <w:r w:rsidRPr="008E6B3E">
        <w:t>Horses, cattle and pigs must not be slaughtered for human consumption during treatment.  Animals may be slaughtered for human consumption only after the following periods from the last treatment:</w:t>
      </w:r>
    </w:p>
    <w:p w:rsidR="008E6B3E" w:rsidRPr="008E6B3E" w:rsidRDefault="008E6B3E" w:rsidP="008E6B3E">
      <w:pPr>
        <w:tabs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1560"/>
        </w:tabs>
        <w:ind w:left="567"/>
        <w:jc w:val="both"/>
      </w:pPr>
      <w:r w:rsidRPr="008E6B3E">
        <w:t>Horses</w:t>
      </w:r>
      <w:r w:rsidRPr="008E6B3E">
        <w:tab/>
        <w:t>–</w:t>
      </w:r>
      <w:r w:rsidRPr="008E6B3E">
        <w:tab/>
        <w:t>1 day</w:t>
      </w:r>
    </w:p>
    <w:p w:rsidR="008E6B3E" w:rsidRPr="008E6B3E" w:rsidRDefault="008E6B3E" w:rsidP="008E6B3E">
      <w:pPr>
        <w:tabs>
          <w:tab w:val="left" w:pos="1560"/>
        </w:tabs>
        <w:ind w:left="567"/>
        <w:jc w:val="both"/>
      </w:pPr>
      <w:r w:rsidRPr="008E6B3E">
        <w:t>Cattle</w:t>
      </w:r>
      <w:r w:rsidRPr="008E6B3E">
        <w:tab/>
        <w:t>–</w:t>
      </w:r>
      <w:r w:rsidRPr="008E6B3E">
        <w:tab/>
        <w:t>following intravenous administration: 1 day</w:t>
      </w:r>
    </w:p>
    <w:p w:rsidR="008E6B3E" w:rsidRPr="008E6B3E" w:rsidRDefault="008E6B3E" w:rsidP="008E6B3E">
      <w:pPr>
        <w:tabs>
          <w:tab w:val="left" w:pos="1560"/>
        </w:tabs>
        <w:ind w:left="567"/>
        <w:jc w:val="both"/>
      </w:pPr>
      <w:r w:rsidRPr="008E6B3E">
        <w:tab/>
        <w:t>–</w:t>
      </w:r>
      <w:r w:rsidRPr="008E6B3E">
        <w:tab/>
        <w:t>following intramuscular administration: 4 days</w:t>
      </w:r>
    </w:p>
    <w:p w:rsidR="008E6B3E" w:rsidRPr="008E6B3E" w:rsidRDefault="008E6B3E" w:rsidP="008E6B3E">
      <w:pPr>
        <w:tabs>
          <w:tab w:val="left" w:pos="1560"/>
        </w:tabs>
        <w:ind w:left="567"/>
        <w:jc w:val="both"/>
      </w:pPr>
      <w:r w:rsidRPr="008E6B3E">
        <w:t>Pigs</w:t>
      </w:r>
      <w:r w:rsidRPr="008E6B3E">
        <w:tab/>
        <w:t>–</w:t>
      </w:r>
      <w:r w:rsidRPr="008E6B3E">
        <w:tab/>
        <w:t>4 days</w:t>
      </w:r>
    </w:p>
    <w:p w:rsidR="008E6B3E" w:rsidRPr="008E6B3E" w:rsidRDefault="008E6B3E" w:rsidP="008E6B3E">
      <w:pPr>
        <w:tabs>
          <w:tab w:val="left" w:pos="6804"/>
        </w:tabs>
        <w:ind w:left="567"/>
        <w:jc w:val="both"/>
      </w:pPr>
    </w:p>
    <w:p w:rsidR="008E6B3E" w:rsidRPr="008E6B3E" w:rsidRDefault="008E6B3E" w:rsidP="008E6B3E">
      <w:pPr>
        <w:tabs>
          <w:tab w:val="left" w:pos="6804"/>
        </w:tabs>
        <w:ind w:left="567"/>
        <w:jc w:val="both"/>
      </w:pPr>
      <w:r w:rsidRPr="008E6B3E">
        <w:t>There is no withholding period necessary for the milk of treated cattle.</w:t>
      </w:r>
      <w:r w:rsidRPr="008E6B3E">
        <w:tab/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pStyle w:val="12bold"/>
        <w:jc w:val="both"/>
      </w:pPr>
      <w:r w:rsidRPr="008E6B3E">
        <w:t>PHARMACOLOGICAL PROPERTIES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ind w:left="567"/>
        <w:jc w:val="both"/>
      </w:pPr>
      <w:proofErr w:type="spellStart"/>
      <w:r w:rsidRPr="008E6B3E">
        <w:rPr>
          <w:b/>
        </w:rPr>
        <w:t>ATCVet</w:t>
      </w:r>
      <w:proofErr w:type="spellEnd"/>
      <w:r w:rsidRPr="008E6B3E">
        <w:rPr>
          <w:b/>
        </w:rPr>
        <w:t xml:space="preserve"> Code: </w:t>
      </w:r>
      <w:r w:rsidRPr="008E6B3E">
        <w:t>QM01AE03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proofErr w:type="spellStart"/>
      <w:r w:rsidRPr="008E6B3E">
        <w:t>Pharmacodynamic</w:t>
      </w:r>
      <w:proofErr w:type="spellEnd"/>
      <w:r w:rsidRPr="008E6B3E">
        <w:t xml:space="preserve"> properties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  <w:proofErr w:type="spellStart"/>
      <w:r w:rsidRPr="008E6B3E">
        <w:t>Ketoprofen</w:t>
      </w:r>
      <w:proofErr w:type="spellEnd"/>
      <w:r w:rsidRPr="008E6B3E">
        <w:t xml:space="preserve"> is a derivative of </w:t>
      </w:r>
      <w:proofErr w:type="spellStart"/>
      <w:r w:rsidRPr="008E6B3E">
        <w:t>phenylpropionic</w:t>
      </w:r>
      <w:proofErr w:type="spellEnd"/>
      <w:r w:rsidRPr="008E6B3E">
        <w:t xml:space="preserve"> acid, and belongs to the non-steroidal anti-inflammatory group of drugs.  Like all such substances, its principal pharmacological actions are anti-inflammatory, analgesic and anti-pyretic. The mechanism of action is related to the ability of </w:t>
      </w:r>
      <w:proofErr w:type="spellStart"/>
      <w:r w:rsidRPr="008E6B3E">
        <w:t>ketoprofen</w:t>
      </w:r>
      <w:proofErr w:type="spellEnd"/>
      <w:r w:rsidRPr="008E6B3E">
        <w:t xml:space="preserve"> to interfere with the synthesis of prostaglandins from precursors such as arachidonic acid.</w:t>
      </w:r>
    </w:p>
    <w:p w:rsidR="008E6B3E" w:rsidRPr="008E6B3E" w:rsidRDefault="008E6B3E" w:rsidP="008E6B3E">
      <w:pPr>
        <w:tabs>
          <w:tab w:val="left" w:pos="851"/>
          <w:tab w:val="left" w:pos="6804"/>
        </w:tabs>
        <w:ind w:left="567"/>
        <w:jc w:val="both"/>
      </w:pPr>
    </w:p>
    <w:p w:rsidR="008E6B3E" w:rsidRPr="008E6B3E" w:rsidRDefault="008E6B3E" w:rsidP="008E6B3E">
      <w:pPr>
        <w:ind w:left="567"/>
        <w:jc w:val="both"/>
        <w:rPr>
          <w:b/>
        </w:rPr>
      </w:pPr>
      <w:r w:rsidRPr="008E6B3E">
        <w:t xml:space="preserve">Following intravenous injection in the horse, the onset of </w:t>
      </w:r>
      <w:proofErr w:type="spellStart"/>
      <w:r w:rsidRPr="008E6B3E">
        <w:t>musculo</w:t>
      </w:r>
      <w:proofErr w:type="spellEnd"/>
      <w:r w:rsidRPr="008E6B3E">
        <w:t>-skeletal anti-inflammatory activity occurs by 2 hours, and reaches a peak at about 12 hours. It is still measurable 24 hours after each dose.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  <w:jc w:val="both"/>
      </w:pPr>
      <w:r w:rsidRPr="008E6B3E">
        <w:t>PHARMACEUTICAL PARTICULARS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List of excipients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keepNext/>
        <w:keepLines/>
        <w:ind w:left="567"/>
        <w:jc w:val="both"/>
      </w:pPr>
      <w:r w:rsidRPr="008E6B3E">
        <w:t>L Arginine</w:t>
      </w:r>
    </w:p>
    <w:p w:rsidR="008E6B3E" w:rsidRPr="008E6B3E" w:rsidRDefault="008E6B3E" w:rsidP="008E6B3E">
      <w:pPr>
        <w:keepNext/>
        <w:keepLines/>
        <w:ind w:left="567"/>
        <w:jc w:val="both"/>
      </w:pPr>
      <w:r w:rsidRPr="008E6B3E">
        <w:t>Benzyl Alcohol</w:t>
      </w:r>
    </w:p>
    <w:p w:rsidR="008E6B3E" w:rsidRPr="008E6B3E" w:rsidRDefault="008E6B3E" w:rsidP="008E6B3E">
      <w:pPr>
        <w:keepNext/>
        <w:keepLines/>
        <w:ind w:left="567"/>
        <w:jc w:val="both"/>
      </w:pPr>
      <w:r w:rsidRPr="008E6B3E">
        <w:t>Citric Acid Monohydrate</w:t>
      </w:r>
    </w:p>
    <w:p w:rsidR="008E6B3E" w:rsidRPr="008E6B3E" w:rsidRDefault="008E6B3E" w:rsidP="008E6B3E">
      <w:pPr>
        <w:keepNext/>
        <w:keepLines/>
        <w:ind w:left="567"/>
        <w:jc w:val="both"/>
      </w:pPr>
      <w:r w:rsidRPr="008E6B3E">
        <w:t>Water for Injections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Major incompatibilities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tabs>
          <w:tab w:val="left" w:pos="993"/>
          <w:tab w:val="left" w:pos="6804"/>
        </w:tabs>
        <w:ind w:left="567"/>
        <w:jc w:val="both"/>
      </w:pPr>
      <w:proofErr w:type="gramStart"/>
      <w:r w:rsidRPr="008E6B3E">
        <w:t>None known.</w:t>
      </w:r>
      <w:proofErr w:type="gramEnd"/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Shelf-life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tabs>
          <w:tab w:val="left" w:pos="993"/>
          <w:tab w:val="left" w:pos="6804"/>
        </w:tabs>
        <w:ind w:left="567"/>
        <w:jc w:val="both"/>
      </w:pPr>
      <w:r w:rsidRPr="008E6B3E">
        <w:t>2 years.</w:t>
      </w:r>
      <w:r w:rsidRPr="008E6B3E">
        <w:tab/>
      </w:r>
      <w:r w:rsidRPr="008E6B3E">
        <w:tab/>
      </w:r>
    </w:p>
    <w:p w:rsidR="008E6B3E" w:rsidRPr="008E6B3E" w:rsidRDefault="008E6B3E" w:rsidP="008E6B3E">
      <w:pPr>
        <w:tabs>
          <w:tab w:val="left" w:pos="993"/>
          <w:tab w:val="left" w:pos="6804"/>
        </w:tabs>
        <w:ind w:left="567"/>
        <w:jc w:val="both"/>
      </w:pPr>
      <w:r w:rsidRPr="008E6B3E">
        <w:t>Following withdrawal of the first dose, use the product within 28 days.</w:t>
      </w: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br w:type="page"/>
      </w:r>
      <w:r w:rsidRPr="008E6B3E">
        <w:lastRenderedPageBreak/>
        <w:t>Special precautions for storage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tabs>
          <w:tab w:val="left" w:pos="993"/>
          <w:tab w:val="left" w:pos="6804"/>
        </w:tabs>
        <w:ind w:left="567"/>
        <w:jc w:val="both"/>
      </w:pPr>
      <w:r w:rsidRPr="008E6B3E">
        <w:t>Do not store above 25°C.</w:t>
      </w:r>
    </w:p>
    <w:p w:rsidR="008E6B3E" w:rsidRPr="008E6B3E" w:rsidRDefault="008E6B3E" w:rsidP="008E6B3E">
      <w:pPr>
        <w:tabs>
          <w:tab w:val="left" w:pos="993"/>
          <w:tab w:val="left" w:pos="6804"/>
        </w:tabs>
        <w:ind w:left="567"/>
        <w:jc w:val="both"/>
      </w:pPr>
      <w:r w:rsidRPr="008E6B3E">
        <w:t>Protect from light.</w:t>
      </w:r>
    </w:p>
    <w:p w:rsidR="008E6B3E" w:rsidRPr="008E6B3E" w:rsidRDefault="008E6B3E" w:rsidP="008E6B3E">
      <w:pPr>
        <w:tabs>
          <w:tab w:val="left" w:pos="993"/>
          <w:tab w:val="left" w:pos="6804"/>
        </w:tabs>
        <w:ind w:left="567"/>
        <w:jc w:val="both"/>
      </w:pPr>
      <w:r w:rsidRPr="008E6B3E">
        <w:t>Discard unused material safely.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Nature and composition of immediate packaging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tabs>
          <w:tab w:val="left" w:pos="993"/>
          <w:tab w:val="left" w:pos="6804"/>
        </w:tabs>
        <w:ind w:left="567"/>
        <w:jc w:val="both"/>
      </w:pPr>
      <w:r w:rsidRPr="008E6B3E">
        <w:t xml:space="preserve">Bottles of 10, 50, 100 and 250ml capacity made of Type II brown glass, fitted with </w:t>
      </w:r>
      <w:proofErr w:type="spellStart"/>
      <w:r w:rsidRPr="008E6B3E">
        <w:t>chlorobutyl</w:t>
      </w:r>
      <w:proofErr w:type="spellEnd"/>
      <w:r w:rsidRPr="008E6B3E">
        <w:t xml:space="preserve"> stopper and aluminium cap.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  <w:numPr>
          <w:ilvl w:val="1"/>
          <w:numId w:val="9"/>
        </w:numPr>
        <w:jc w:val="both"/>
      </w:pPr>
      <w:r w:rsidRPr="008E6B3E">
        <w:t>Special precautions for the disposal of unused veterinary medicinal product or waste materials derived from the use of such products, if appropriate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741204" w:rsidRDefault="008E6B3E" w:rsidP="008E6B3E">
      <w:pPr>
        <w:pStyle w:val="BodyTextIndent2"/>
        <w:ind w:left="567"/>
        <w:jc w:val="both"/>
        <w:rPr>
          <w:rFonts w:ascii="Arial" w:hAnsi="Arial" w:cs="Arial"/>
          <w:bCs/>
          <w:sz w:val="24"/>
        </w:rPr>
      </w:pPr>
      <w:r w:rsidRPr="00741204">
        <w:rPr>
          <w:rFonts w:ascii="Arial" w:hAnsi="Arial" w:cs="Arial"/>
          <w:sz w:val="24"/>
        </w:rPr>
        <w:t>Any unused veterinary medicinal product or waste materials derived from such veterinary medicinal products should be disposed of in accordance with local requirements.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</w:pPr>
      <w:r w:rsidRPr="008E6B3E">
        <w:t>MARKETING AUTHORISATION HOLDER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keepNext/>
        <w:keepLines/>
        <w:ind w:left="567"/>
        <w:jc w:val="both"/>
      </w:pPr>
      <w:proofErr w:type="spellStart"/>
      <w:r w:rsidRPr="008E6B3E">
        <w:t>Merial</w:t>
      </w:r>
      <w:proofErr w:type="spellEnd"/>
      <w:r w:rsidRPr="008E6B3E">
        <w:t xml:space="preserve"> Animal Health Limited</w:t>
      </w:r>
    </w:p>
    <w:p w:rsidR="008E6B3E" w:rsidRPr="008E6B3E" w:rsidRDefault="008E6B3E" w:rsidP="008E6B3E">
      <w:pPr>
        <w:keepNext/>
        <w:keepLines/>
        <w:ind w:left="567"/>
        <w:jc w:val="both"/>
      </w:pPr>
      <w:r w:rsidRPr="008E6B3E">
        <w:t>PO Box 327</w:t>
      </w:r>
    </w:p>
    <w:p w:rsidR="008E6B3E" w:rsidRPr="008E6B3E" w:rsidRDefault="008E6B3E" w:rsidP="008E6B3E">
      <w:pPr>
        <w:keepNext/>
        <w:keepLines/>
        <w:ind w:left="567"/>
        <w:jc w:val="both"/>
      </w:pPr>
      <w:proofErr w:type="spellStart"/>
      <w:r w:rsidRPr="008E6B3E">
        <w:t>Sandringham</w:t>
      </w:r>
      <w:proofErr w:type="spellEnd"/>
      <w:r w:rsidRPr="008E6B3E">
        <w:t xml:space="preserve"> House</w:t>
      </w:r>
    </w:p>
    <w:p w:rsidR="008E6B3E" w:rsidRPr="008E6B3E" w:rsidRDefault="008E6B3E" w:rsidP="008E6B3E">
      <w:pPr>
        <w:keepNext/>
        <w:keepLines/>
        <w:ind w:left="567"/>
        <w:jc w:val="both"/>
      </w:pPr>
      <w:proofErr w:type="spellStart"/>
      <w:r w:rsidRPr="008E6B3E">
        <w:t>Sandringham</w:t>
      </w:r>
      <w:proofErr w:type="spellEnd"/>
      <w:r w:rsidRPr="008E6B3E">
        <w:t xml:space="preserve"> Avenue</w:t>
      </w:r>
    </w:p>
    <w:p w:rsidR="008E6B3E" w:rsidRPr="008E6B3E" w:rsidRDefault="008E6B3E" w:rsidP="008E6B3E">
      <w:pPr>
        <w:keepNext/>
        <w:keepLines/>
        <w:ind w:left="567"/>
        <w:jc w:val="both"/>
      </w:pPr>
      <w:r w:rsidRPr="008E6B3E">
        <w:t>Harlow Business Park</w:t>
      </w:r>
    </w:p>
    <w:p w:rsidR="008E6B3E" w:rsidRPr="008E6B3E" w:rsidRDefault="008E6B3E" w:rsidP="008E6B3E">
      <w:pPr>
        <w:ind w:left="567"/>
        <w:jc w:val="both"/>
      </w:pPr>
      <w:r w:rsidRPr="008E6B3E">
        <w:t>Harlow</w:t>
      </w:r>
    </w:p>
    <w:p w:rsidR="008E6B3E" w:rsidRPr="008E6B3E" w:rsidRDefault="008E6B3E" w:rsidP="008E6B3E">
      <w:pPr>
        <w:ind w:left="567"/>
        <w:jc w:val="both"/>
      </w:pPr>
      <w:r w:rsidRPr="008E6B3E">
        <w:t>Essex</w:t>
      </w:r>
    </w:p>
    <w:p w:rsidR="008E6B3E" w:rsidRPr="008E6B3E" w:rsidRDefault="008E6B3E" w:rsidP="008E6B3E">
      <w:pPr>
        <w:ind w:left="567"/>
        <w:jc w:val="both"/>
      </w:pPr>
      <w:r w:rsidRPr="008E6B3E">
        <w:t>CM19 5TG</w:t>
      </w:r>
    </w:p>
    <w:p w:rsidR="008E6B3E" w:rsidRPr="008E6B3E" w:rsidRDefault="008E6B3E" w:rsidP="008E6B3E">
      <w:pPr>
        <w:ind w:left="567"/>
        <w:jc w:val="both"/>
      </w:pPr>
    </w:p>
    <w:p w:rsidR="008E6B3E" w:rsidRPr="008E6B3E" w:rsidRDefault="008E6B3E" w:rsidP="008E6B3E">
      <w:pPr>
        <w:pStyle w:val="12bold"/>
      </w:pPr>
      <w:r w:rsidRPr="008E6B3E">
        <w:t>MARKETING AUTHORISATION NUMBER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keepNext/>
        <w:keepLines/>
        <w:ind w:left="567"/>
        <w:jc w:val="both"/>
      </w:pPr>
      <w:proofErr w:type="spellStart"/>
      <w:r w:rsidRPr="008E6B3E">
        <w:rPr>
          <w:b/>
          <w:sz w:val="30"/>
          <w:szCs w:val="30"/>
        </w:rPr>
        <w:t>Vm</w:t>
      </w:r>
      <w:proofErr w:type="spellEnd"/>
      <w:r w:rsidRPr="008E6B3E">
        <w:rPr>
          <w:b/>
          <w:sz w:val="30"/>
          <w:szCs w:val="30"/>
        </w:rPr>
        <w:t>:</w:t>
      </w:r>
      <w:r w:rsidRPr="008E6B3E">
        <w:rPr>
          <w:b/>
        </w:rPr>
        <w:t xml:space="preserve"> </w:t>
      </w:r>
      <w:r w:rsidRPr="008E6B3E">
        <w:t>08327/4067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</w:pPr>
      <w:r w:rsidRPr="008E6B3E">
        <w:t>DATE OF FIRST AUTHORISATION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keepNext/>
        <w:keepLines/>
        <w:ind w:left="567"/>
        <w:jc w:val="both"/>
      </w:pPr>
      <w:r w:rsidRPr="008E6B3E">
        <w:rPr>
          <w:b/>
        </w:rPr>
        <w:t>Date:</w:t>
      </w:r>
      <w:r w:rsidRPr="008E6B3E">
        <w:t xml:space="preserve"> 12 February 1992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</w:pPr>
      <w:r w:rsidRPr="008E6B3E">
        <w:t>DATE OF REVISION OF THE TEXT</w:t>
      </w:r>
    </w:p>
    <w:p w:rsidR="008E6B3E" w:rsidRPr="008E6B3E" w:rsidRDefault="008E6B3E" w:rsidP="008E6B3E">
      <w:pPr>
        <w:keepNext/>
        <w:keepLines/>
        <w:ind w:left="567"/>
        <w:jc w:val="both"/>
      </w:pPr>
    </w:p>
    <w:p w:rsidR="008E6B3E" w:rsidRPr="008E6B3E" w:rsidRDefault="008E6B3E" w:rsidP="008E6B3E">
      <w:pPr>
        <w:keepNext/>
        <w:keepLines/>
        <w:tabs>
          <w:tab w:val="left" w:pos="23"/>
        </w:tabs>
        <w:ind w:left="567"/>
        <w:jc w:val="both"/>
      </w:pPr>
      <w:r w:rsidRPr="008E6B3E">
        <w:rPr>
          <w:b/>
        </w:rPr>
        <w:t>Date:</w:t>
      </w:r>
      <w:r w:rsidRPr="008E6B3E">
        <w:t xml:space="preserve"> June 2014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8E6B3E" w:rsidRPr="008E6B3E" w:rsidRDefault="008E6B3E" w:rsidP="008E6B3E">
      <w:pPr>
        <w:pStyle w:val="12bold"/>
      </w:pPr>
      <w:r w:rsidRPr="008E6B3E">
        <w:t>ANY OTHER INFORMATION REQUIRED BY THE SECRETARY OF STATE</w:t>
      </w:r>
    </w:p>
    <w:p w:rsidR="008E6B3E" w:rsidRPr="008E6B3E" w:rsidRDefault="008E6B3E" w:rsidP="008E6B3E">
      <w:pPr>
        <w:keepNext/>
        <w:keepLines/>
        <w:ind w:left="567"/>
        <w:jc w:val="both"/>
        <w:rPr>
          <w:b/>
          <w:bCs/>
        </w:rPr>
      </w:pPr>
    </w:p>
    <w:p w:rsidR="009B6BE1" w:rsidRDefault="008E6B3E" w:rsidP="008E6B3E">
      <w:pPr>
        <w:keepNext/>
        <w:keepLines/>
        <w:ind w:left="567"/>
        <w:jc w:val="both"/>
        <w:rPr>
          <w:bCs/>
        </w:rPr>
      </w:pPr>
      <w:r w:rsidRPr="008E6B3E">
        <w:rPr>
          <w:bCs/>
        </w:rPr>
        <w:t>Not applicable.</w:t>
      </w:r>
    </w:p>
    <w:p w:rsidR="00CF3863" w:rsidRDefault="00CF3863" w:rsidP="008E6B3E">
      <w:pPr>
        <w:keepNext/>
        <w:keepLines/>
        <w:ind w:left="567"/>
        <w:jc w:val="both"/>
        <w:rPr>
          <w:bCs/>
        </w:rPr>
      </w:pPr>
    </w:p>
    <w:p w:rsidR="00CF3863" w:rsidRDefault="00CF3863" w:rsidP="008E6B3E">
      <w:pPr>
        <w:keepNext/>
        <w:keepLines/>
        <w:ind w:left="567"/>
        <w:jc w:val="both"/>
        <w:rPr>
          <w:bCs/>
        </w:rPr>
      </w:pPr>
    </w:p>
    <w:p w:rsidR="00CF3863" w:rsidRPr="008E6B3E" w:rsidRDefault="00CF3863" w:rsidP="008E6B3E">
      <w:pPr>
        <w:keepNext/>
        <w:keepLines/>
        <w:ind w:left="567"/>
        <w:jc w:val="both"/>
        <w:rPr>
          <w:bCs/>
        </w:rPr>
      </w:pPr>
      <w:r>
        <w:rPr>
          <w:noProof/>
          <w:lang w:eastAsia="en-GB"/>
        </w:rPr>
        <w:drawing>
          <wp:inline distT="0" distB="0" distL="0" distR="0" wp14:anchorId="1A17C0ED" wp14:editId="1C50FC12">
            <wp:extent cx="914400" cy="304800"/>
            <wp:effectExtent l="0" t="0" r="0" b="0"/>
            <wp:docPr id="3" name="Picture 1" descr="\\Docs\qmds\Signatures\Sturgess - Nick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\\Docs\qmds\Signatures\Sturgess - Nicky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>25 June 2014</w:t>
      </w:r>
    </w:p>
    <w:sectPr w:rsidR="00CF3863" w:rsidRPr="008E6B3E" w:rsidSect="009B6BE1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76" w:rsidRDefault="00930B76">
      <w:r>
        <w:separator/>
      </w:r>
    </w:p>
  </w:endnote>
  <w:endnote w:type="continuationSeparator" w:id="0">
    <w:p w:rsidR="00930B76" w:rsidRDefault="0093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1" w:rsidRPr="008E6B3E" w:rsidRDefault="008E6B3E" w:rsidP="008E6B3E">
    <w:pPr>
      <w:pStyle w:val="Footer"/>
      <w:tabs>
        <w:tab w:val="center" w:pos="4535"/>
        <w:tab w:val="left" w:pos="6135"/>
      </w:tabs>
      <w:jc w:val="center"/>
      <w:rPr>
        <w:rStyle w:val="PageNumber"/>
        <w:sz w:val="20"/>
        <w:szCs w:val="20"/>
      </w:rPr>
    </w:pPr>
    <w:r w:rsidRPr="00C41BB5">
      <w:rPr>
        <w:sz w:val="20"/>
        <w:szCs w:val="20"/>
      </w:rPr>
      <w:t xml:space="preserve">Page </w:t>
    </w:r>
    <w:r w:rsidRPr="00C41BB5">
      <w:rPr>
        <w:bCs/>
        <w:sz w:val="20"/>
        <w:szCs w:val="20"/>
      </w:rPr>
      <w:fldChar w:fldCharType="begin"/>
    </w:r>
    <w:r w:rsidRPr="00C41BB5">
      <w:rPr>
        <w:bCs/>
        <w:sz w:val="20"/>
        <w:szCs w:val="20"/>
      </w:rPr>
      <w:instrText xml:space="preserve"> PAGE </w:instrText>
    </w:r>
    <w:r w:rsidRPr="00C41BB5">
      <w:rPr>
        <w:bCs/>
        <w:sz w:val="20"/>
        <w:szCs w:val="20"/>
      </w:rPr>
      <w:fldChar w:fldCharType="separate"/>
    </w:r>
    <w:r w:rsidR="00AF78D2">
      <w:rPr>
        <w:bCs/>
        <w:noProof/>
        <w:sz w:val="20"/>
        <w:szCs w:val="20"/>
      </w:rPr>
      <w:t>2</w:t>
    </w:r>
    <w:r w:rsidRPr="00C41BB5">
      <w:rPr>
        <w:bCs/>
        <w:sz w:val="20"/>
        <w:szCs w:val="20"/>
      </w:rPr>
      <w:fldChar w:fldCharType="end"/>
    </w:r>
    <w:r w:rsidRPr="00C41BB5">
      <w:rPr>
        <w:sz w:val="20"/>
        <w:szCs w:val="20"/>
      </w:rPr>
      <w:t xml:space="preserve"> of </w:t>
    </w:r>
    <w:r w:rsidRPr="00C41BB5">
      <w:rPr>
        <w:bCs/>
        <w:sz w:val="20"/>
        <w:szCs w:val="20"/>
      </w:rPr>
      <w:fldChar w:fldCharType="begin"/>
    </w:r>
    <w:r w:rsidRPr="00C41BB5">
      <w:rPr>
        <w:bCs/>
        <w:sz w:val="20"/>
        <w:szCs w:val="20"/>
      </w:rPr>
      <w:instrText xml:space="preserve"> NUMPAGES  </w:instrText>
    </w:r>
    <w:r w:rsidRPr="00C41BB5">
      <w:rPr>
        <w:bCs/>
        <w:sz w:val="20"/>
        <w:szCs w:val="20"/>
      </w:rPr>
      <w:fldChar w:fldCharType="separate"/>
    </w:r>
    <w:r w:rsidR="00AF78D2">
      <w:rPr>
        <w:bCs/>
        <w:noProof/>
        <w:sz w:val="20"/>
        <w:szCs w:val="20"/>
      </w:rPr>
      <w:t>5</w:t>
    </w:r>
    <w:r w:rsidRPr="00C41BB5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76" w:rsidRDefault="00930B76">
      <w:r>
        <w:separator/>
      </w:r>
    </w:p>
  </w:footnote>
  <w:footnote w:type="continuationSeparator" w:id="0">
    <w:p w:rsidR="00930B76" w:rsidRDefault="00930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3E" w:rsidRDefault="008E6B3E" w:rsidP="008E6B3E">
    <w:pPr>
      <w:pStyle w:val="Header"/>
      <w:tabs>
        <w:tab w:val="right" w:pos="9000"/>
      </w:tabs>
      <w:jc w:val="right"/>
      <w:rPr>
        <w:sz w:val="20"/>
        <w:szCs w:val="20"/>
      </w:rPr>
    </w:pPr>
    <w:r>
      <w:rPr>
        <w:sz w:val="20"/>
        <w:szCs w:val="20"/>
      </w:rPr>
      <w:t>Revised: June 2014</w:t>
    </w:r>
  </w:p>
  <w:p w:rsidR="008E6B3E" w:rsidRPr="003A62D6" w:rsidRDefault="008E6B3E" w:rsidP="008E6B3E">
    <w:pPr>
      <w:pStyle w:val="Header"/>
      <w:tabs>
        <w:tab w:val="right" w:pos="9000"/>
      </w:tabs>
      <w:jc w:val="right"/>
      <w:rPr>
        <w:sz w:val="20"/>
        <w:szCs w:val="20"/>
      </w:rPr>
    </w:pPr>
    <w:r>
      <w:rPr>
        <w:sz w:val="20"/>
        <w:szCs w:val="20"/>
      </w:rPr>
      <w:t>AN: 01491/2013</w:t>
    </w:r>
  </w:p>
  <w:p w:rsidR="008E6B3E" w:rsidRPr="008E6B3E" w:rsidRDefault="008E6B3E" w:rsidP="008E6B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D7DD9"/>
    <w:multiLevelType w:val="hybridMultilevel"/>
    <w:tmpl w:val="7366250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282C06A"/>
    <w:multiLevelType w:val="hybridMultilevel"/>
    <w:tmpl w:val="3117A3E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6726DC"/>
    <w:multiLevelType w:val="hybridMultilevel"/>
    <w:tmpl w:val="5CC7DD8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FA5545"/>
    <w:multiLevelType w:val="hybridMultilevel"/>
    <w:tmpl w:val="0F4C4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C2343"/>
    <w:multiLevelType w:val="hybridMultilevel"/>
    <w:tmpl w:val="CF1264A6"/>
    <w:lvl w:ilvl="0" w:tplc="1DACC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90859"/>
    <w:multiLevelType w:val="hybridMultilevel"/>
    <w:tmpl w:val="28F80E92"/>
    <w:lvl w:ilvl="0" w:tplc="41FE19CC">
      <w:start w:val="1"/>
      <w:numFmt w:val="lowerRoman"/>
      <w:lvlText w:val="%1)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5591E"/>
    <w:multiLevelType w:val="multilevel"/>
    <w:tmpl w:val="675CAB00"/>
    <w:lvl w:ilvl="0">
      <w:start w:val="1"/>
      <w:numFmt w:val="decimal"/>
      <w:pStyle w:val="12bol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9517D7"/>
    <w:multiLevelType w:val="hybridMultilevel"/>
    <w:tmpl w:val="AA00671A"/>
    <w:lvl w:ilvl="0" w:tplc="B300BA4C">
      <w:start w:val="5"/>
      <w:numFmt w:val="bullet"/>
      <w:lvlText w:val="-"/>
      <w:lvlJc w:val="left"/>
      <w:pPr>
        <w:tabs>
          <w:tab w:val="num" w:pos="1440"/>
        </w:tabs>
        <w:ind w:left="144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>
    <w:nsid w:val="402DDEBF"/>
    <w:multiLevelType w:val="hybridMultilevel"/>
    <w:tmpl w:val="5560B7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2AD38E6"/>
    <w:multiLevelType w:val="hybridMultilevel"/>
    <w:tmpl w:val="EDFEC2EC"/>
    <w:lvl w:ilvl="0" w:tplc="3766B00A">
      <w:start w:val="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5F4164"/>
    <w:multiLevelType w:val="multilevel"/>
    <w:tmpl w:val="C58C0B3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>
    <w:nsid w:val="506B672B"/>
    <w:multiLevelType w:val="hybridMultilevel"/>
    <w:tmpl w:val="1ECCCB50"/>
    <w:lvl w:ilvl="0" w:tplc="3D5ED32E">
      <w:start w:val="2"/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8D6169"/>
    <w:multiLevelType w:val="hybridMultilevel"/>
    <w:tmpl w:val="4BF8C252"/>
    <w:lvl w:ilvl="0" w:tplc="F572C4FA">
      <w:start w:val="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8E1EFB"/>
    <w:multiLevelType w:val="hybridMultilevel"/>
    <w:tmpl w:val="DD34AA7E"/>
    <w:lvl w:ilvl="0" w:tplc="1338BA70">
      <w:start w:val="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E1"/>
    <w:rsid w:val="002D7280"/>
    <w:rsid w:val="002E1FF8"/>
    <w:rsid w:val="0051404C"/>
    <w:rsid w:val="00741204"/>
    <w:rsid w:val="00743678"/>
    <w:rsid w:val="008E6B3E"/>
    <w:rsid w:val="00900EF1"/>
    <w:rsid w:val="00930B76"/>
    <w:rsid w:val="00973879"/>
    <w:rsid w:val="009B6BE1"/>
    <w:rsid w:val="00AB53E2"/>
    <w:rsid w:val="00AF78D2"/>
    <w:rsid w:val="00B761EE"/>
    <w:rsid w:val="00CF3863"/>
    <w:rsid w:val="00E063A6"/>
    <w:rsid w:val="00E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Default"/>
    <w:next w:val="Default"/>
    <w:qFormat/>
    <w:pPr>
      <w:outlineLvl w:val="0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Default"/>
    <w:next w:val="Default"/>
    <w:rPr>
      <w:color w:val="auto"/>
      <w:sz w:val="20"/>
    </w:rPr>
  </w:style>
  <w:style w:type="paragraph" w:styleId="BodyTextIndent2">
    <w:name w:val="Body Text Indent 2"/>
    <w:basedOn w:val="Default"/>
    <w:next w:val="Default"/>
    <w:rPr>
      <w:color w:val="auto"/>
      <w:sz w:val="20"/>
    </w:rPr>
  </w:style>
  <w:style w:type="paragraph" w:styleId="BodyTextIndent">
    <w:name w:val="Body Text Indent"/>
    <w:basedOn w:val="Normal"/>
    <w:pPr>
      <w:ind w:left="1425" w:hanging="705"/>
    </w:pPr>
    <w:rPr>
      <w:color w:val="000000"/>
      <w:szCs w:val="22"/>
    </w:rPr>
  </w:style>
  <w:style w:type="paragraph" w:styleId="Header">
    <w:name w:val="header"/>
    <w:basedOn w:val="Normal"/>
    <w:rsid w:val="009B6BE1"/>
    <w:pPr>
      <w:tabs>
        <w:tab w:val="right" w:pos="9072"/>
      </w:tabs>
    </w:pPr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9B6BE1"/>
    <w:pPr>
      <w:tabs>
        <w:tab w:val="right" w:pos="9072"/>
      </w:tabs>
    </w:pPr>
    <w:rPr>
      <w:rFonts w:cs="Times New Roman"/>
      <w:sz w:val="22"/>
    </w:rPr>
  </w:style>
  <w:style w:type="character" w:styleId="PageNumber">
    <w:name w:val="page number"/>
    <w:basedOn w:val="DefaultParagraphFont"/>
    <w:rsid w:val="009B6BE1"/>
    <w:rPr>
      <w:rFonts w:ascii="Arial" w:hAnsi="Arial"/>
      <w:sz w:val="22"/>
    </w:rPr>
  </w:style>
  <w:style w:type="paragraph" w:customStyle="1" w:styleId="12bold">
    <w:name w:val="12 bold"/>
    <w:basedOn w:val="Normal"/>
    <w:link w:val="12boldChar"/>
    <w:qFormat/>
    <w:rsid w:val="008E6B3E"/>
    <w:pPr>
      <w:numPr>
        <w:numId w:val="9"/>
      </w:numPr>
    </w:pPr>
    <w:rPr>
      <w:b/>
      <w:bCs/>
    </w:rPr>
  </w:style>
  <w:style w:type="character" w:customStyle="1" w:styleId="12boldChar">
    <w:name w:val="12 bold Char"/>
    <w:basedOn w:val="DefaultParagraphFont"/>
    <w:link w:val="12bold"/>
    <w:rsid w:val="008E6B3E"/>
    <w:rPr>
      <w:rFonts w:ascii="Arial" w:hAnsi="Arial" w:cs="Arial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8E6B3E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CF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Default"/>
    <w:next w:val="Default"/>
    <w:qFormat/>
    <w:pPr>
      <w:outlineLvl w:val="0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Default"/>
    <w:next w:val="Default"/>
    <w:rPr>
      <w:color w:val="auto"/>
      <w:sz w:val="20"/>
    </w:rPr>
  </w:style>
  <w:style w:type="paragraph" w:styleId="BodyTextIndent2">
    <w:name w:val="Body Text Indent 2"/>
    <w:basedOn w:val="Default"/>
    <w:next w:val="Default"/>
    <w:rPr>
      <w:color w:val="auto"/>
      <w:sz w:val="20"/>
    </w:rPr>
  </w:style>
  <w:style w:type="paragraph" w:styleId="BodyTextIndent">
    <w:name w:val="Body Text Indent"/>
    <w:basedOn w:val="Normal"/>
    <w:pPr>
      <w:ind w:left="1425" w:hanging="705"/>
    </w:pPr>
    <w:rPr>
      <w:color w:val="000000"/>
      <w:szCs w:val="22"/>
    </w:rPr>
  </w:style>
  <w:style w:type="paragraph" w:styleId="Header">
    <w:name w:val="header"/>
    <w:basedOn w:val="Normal"/>
    <w:rsid w:val="009B6BE1"/>
    <w:pPr>
      <w:tabs>
        <w:tab w:val="right" w:pos="9072"/>
      </w:tabs>
    </w:pPr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9B6BE1"/>
    <w:pPr>
      <w:tabs>
        <w:tab w:val="right" w:pos="9072"/>
      </w:tabs>
    </w:pPr>
    <w:rPr>
      <w:rFonts w:cs="Times New Roman"/>
      <w:sz w:val="22"/>
    </w:rPr>
  </w:style>
  <w:style w:type="character" w:styleId="PageNumber">
    <w:name w:val="page number"/>
    <w:basedOn w:val="DefaultParagraphFont"/>
    <w:rsid w:val="009B6BE1"/>
    <w:rPr>
      <w:rFonts w:ascii="Arial" w:hAnsi="Arial"/>
      <w:sz w:val="22"/>
    </w:rPr>
  </w:style>
  <w:style w:type="paragraph" w:customStyle="1" w:styleId="12bold">
    <w:name w:val="12 bold"/>
    <w:basedOn w:val="Normal"/>
    <w:link w:val="12boldChar"/>
    <w:qFormat/>
    <w:rsid w:val="008E6B3E"/>
    <w:pPr>
      <w:numPr>
        <w:numId w:val="9"/>
      </w:numPr>
    </w:pPr>
    <w:rPr>
      <w:b/>
      <w:bCs/>
    </w:rPr>
  </w:style>
  <w:style w:type="character" w:customStyle="1" w:styleId="12boldChar">
    <w:name w:val="12 bold Char"/>
    <w:basedOn w:val="DefaultParagraphFont"/>
    <w:link w:val="12bold"/>
    <w:rsid w:val="008E6B3E"/>
    <w:rPr>
      <w:rFonts w:ascii="Arial" w:hAnsi="Arial" w:cs="Arial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8E6B3E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CF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1166</Words>
  <Characters>6589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MERIAL</Company>
  <LinksUpToDate>false</LinksUpToDate>
  <CharactersWithSpaces>7740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JParry</dc:creator>
  <cp:lastModifiedBy>Alison Eves</cp:lastModifiedBy>
  <cp:revision>2</cp:revision>
  <cp:lastPrinted>2005-10-17T09:31:00Z</cp:lastPrinted>
  <dcterms:created xsi:type="dcterms:W3CDTF">2014-08-12T08:18:00Z</dcterms:created>
  <dcterms:modified xsi:type="dcterms:W3CDTF">2014-08-12T08:18:00Z</dcterms:modified>
</cp:coreProperties>
</file>